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Projekt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do Projektu Uchwały Nr ……./………….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Rady Powiatu w Świdniku</w:t>
      </w:r>
    </w:p>
    <w:p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………………..</w:t>
      </w:r>
    </w:p>
    <w:p>
      <w:pPr>
        <w:spacing w:line="360" w:lineRule="auto"/>
        <w:jc w:val="right"/>
        <w:rPr>
          <w:rFonts w:ascii="Times New Roman" w:hAnsi="Times New Roman" w:cs="Times New Roman"/>
          <w:i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 współpracy Powiatu Świdnickiego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pl-PL"/>
        </w:rPr>
        <w:t xml:space="preserve"> w Świdniku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 organizacjami pozarządowymi i podmiotami wymienionymi w art. 3 ust 3 ustawy z dnia 24 kwietnia 2003 r. o działalności pożytku publicznego i o wolontariacie na 2021 rok.</w:t>
      </w:r>
    </w:p>
    <w:p>
      <w:pPr>
        <w:spacing w:after="0" w:line="360" w:lineRule="auto"/>
        <w:jc w:val="center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się roczny Program współpracy z organizacjami pozarządowymi i podmiotami wymienionymi w art. 3 ust 3 ustawy z dnia 24 kwietnia 2003 r. o działalności pożytku publicznego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i o wolontariacie na 2021 rok, zwany dalej Programem.</w:t>
      </w:r>
    </w:p>
    <w:p>
      <w:pPr>
        <w:spacing w:after="0" w:line="360" w:lineRule="auto"/>
        <w:jc w:val="center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>
      <w:pPr>
        <w:pStyle w:val="5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głównym Programu jest kształtowanie demokratycznego ładu społecznego w środowisku lokalnym, poprzez budowanie partnerstwa między administracją publiczną i organizacjami pozarządowymi. Służyć temu może wspieranie organizacji pozarządowych w realizacji ważnych celów społecznych.</w:t>
      </w:r>
    </w:p>
    <w:p>
      <w:pPr>
        <w:pStyle w:val="5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>
      <w:pPr>
        <w:pStyle w:val="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umocnienie lokalnych działań, stworzenie warunków dla powstawania inicjatyw i struktur funkcjonujących na rzecz społeczności lokalnych;</w:t>
      </w:r>
    </w:p>
    <w:p>
      <w:pPr>
        <w:pStyle w:val="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wpływu sektora obywatelskiego na kreowanie polityki społecznej w powiecie świdnickim;</w:t>
      </w:r>
    </w:p>
    <w:p>
      <w:pPr>
        <w:pStyle w:val="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jakości życia poprzez pełniejsze zaspokajanie potrzeb społecznych;</w:t>
      </w:r>
    </w:p>
    <w:p>
      <w:pPr>
        <w:pStyle w:val="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zainteresowanych podmiotów przy tworzeniu programu współpracy;</w:t>
      </w:r>
    </w:p>
    <w:p>
      <w:pPr>
        <w:pStyle w:val="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na innowacyjność, konkurencyjność poprzez umożliwienie organizacjom pozarządowym indywidualnego wystąpienia z ofertą realizacji projektów konkretnych zadań publicznych, które obecnie prowadzone są przez samorząd.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>
      <w:pPr>
        <w:pStyle w:val="5"/>
        <w:numPr>
          <w:ilvl w:val="0"/>
          <w:numId w:val="2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Zasadami współpracy organów Powiatu z organizacjami pozarządowymi oraz z podmiotami wymienionymi w art. 3 ust 3 ustawy o działalności pożytku publicznego i wolontariacie są zasady: pomocniczości, suwerenności stron, partnerstwa, efektywności, uczciwej konkurencji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i jawności.</w:t>
      </w:r>
    </w:p>
    <w:p>
      <w:pPr>
        <w:pStyle w:val="5"/>
        <w:numPr>
          <w:ilvl w:val="0"/>
          <w:numId w:val="2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zasadą partnerstwa organizacje pozarządowe oraz z podmioty wymienione w art. 3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ust 3 ustawy o działalności pożytku publicznego i wolontariacie, na zasadach i w formie określonej w ustawie oraz według trybu wynikającego z odrębnych przepisów, uczestniczą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w identyfikowaniu i definiowaniu problemów społecznych.</w:t>
      </w:r>
    </w:p>
    <w:p>
      <w:pPr>
        <w:pStyle w:val="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Kierując się zasadą efektywności organy administracji publicznej, przy zlecaniu organizacjom pozarządowym oraz podmiotom wymienionym w art. 3 ust. 3 ustawy o działalności pożytku publicznego i wolontariacie, zadań publicznych, dokonują wyboru najefektywniejszego sposobu wykorzystania środków publicznych.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Podmiotami realizującymi program są:</w:t>
      </w:r>
    </w:p>
    <w:p>
      <w:pPr>
        <w:pStyle w:val="5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Powiatu </w:t>
      </w:r>
      <w:r>
        <w:rPr>
          <w:rFonts w:hint="default" w:ascii="Times New Roman" w:hAnsi="Times New Roman" w:cs="Times New Roman"/>
          <w:lang w:val="pl-PL"/>
        </w:rPr>
        <w:t>w Świdniku</w:t>
      </w:r>
      <w:r>
        <w:rPr>
          <w:rFonts w:ascii="Times New Roman" w:hAnsi="Times New Roman" w:cs="Times New Roman"/>
        </w:rPr>
        <w:t>, w zakresie wytyczania kierunków współdziałania i określania wielkości środków publicznych przeznaczonych na ten cel;</w:t>
      </w:r>
    </w:p>
    <w:p>
      <w:pPr>
        <w:pStyle w:val="5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</w:t>
      </w:r>
      <w:r>
        <w:rPr>
          <w:rFonts w:hint="default" w:ascii="Times New Roman" w:hAnsi="Times New Roman" w:cs="Times New Roman"/>
          <w:lang w:val="pl-PL"/>
        </w:rPr>
        <w:t>w Świdniku</w:t>
      </w:r>
      <w:r>
        <w:rPr>
          <w:rFonts w:ascii="Times New Roman" w:hAnsi="Times New Roman" w:cs="Times New Roman"/>
        </w:rPr>
        <w:t>, w zakresie realizacji współpracy z organizacjami i podmiotami oraz zlecania im konkretnych zadań Powiatu do realizacji;</w:t>
      </w:r>
    </w:p>
    <w:p>
      <w:pPr>
        <w:pStyle w:val="5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Rodzinie w Świdniku w zakresie obsługi administracyjno-technicznej konkursów dotyczących wspierania działalności z zakresu rehabilitacji społecznej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i zawodowej osób niepełnosprawnych;</w:t>
      </w:r>
    </w:p>
    <w:p>
      <w:pPr>
        <w:pStyle w:val="5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Poszczególne komórki organizacyjne Starostwa Powiatowego w Świdniku, jednostki organizacyjne Powiatu, w zakresie bieżącej współpracy z organizacjami i podmiotami, o których mowa w § 1, w tym wzajemnego konsultowania i informowania o potrzebach społecznych.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Powiatu Świdnickiego z organizacjami pozarządowymi oraz z podmiotami wymienionymi w art. 3 ust. 3 ustawy o działalności pożytku publicznego i wolontariacie, może się odbywać w formach: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zlecania organizacjom pozarządowym oraz podmiotom wymienionym w art. 3 ust. 3 ustawy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o działalności pożytku publicznego i wolontariacie realizacji zadań publicznych na zasadach określonych w ustawie;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wzajemnego informowania się o planowanych kierunkach działalności;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konsultowania z organizacjami pozarządowymi oraz podmiotami wymienionymi w art. 3 ust. 3 ustawy o działalności pożytku publicznego i wolontariacie projektów aktów normatywnych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w dziedzinach dotyczących działalności statutowej tych organizacji;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konsultowania projektów aktów normatywnych dotyczących sfery zadań publicznych, o której mowa w art. 4 ustawy o działalności pożytku publicznego i wolontariacie, z radami działalności pożytku publicznego, w przypadku ich utworzenia przez właściwe jednostki samorządu terytorialnego;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tworzenia wspólnych zespołów o charakterze doradczym i inicjatywnym, złożonych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z przedstawicieli organizacji pozarządowych, podmiotów wymienionych w art. 3 ust. 3 ustawy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o działalności pożytku publicznego i wolontariacie oraz przedstawicieli właściwych organów administracji publicznej;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 wykonanie inicjatywy lokalnej na zasadach określonych w ustawie o działalności pożytku publicznego i wolontariacie;</w:t>
      </w:r>
    </w:p>
    <w:p>
      <w:pPr>
        <w:pStyle w:val="5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partnerskiej określonej w art. 28a ust. 1 ustawy z dnia 6 grudnia 2006 r. o zasadach prowadzenia polityki rozwoju (Dz. U. z 2019 r. poz. 1295, z późn. zm.) oraz porozumienia albo umowy o partnerstwie określonych w art. 33 ust. 1 ustawy z dnia 11 lipca 2014 r. o zasadach realizacji programów w zakresie polityki spójności finansowanych w perspektywie finansowej 2014-2020 (t.j. Dz.U. z 2020 r. poz. 818).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>
      <w:pPr>
        <w:pStyle w:val="5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Przedmiotowy zakres współpracy obejmuje działania w zakresie:</w:t>
      </w:r>
    </w:p>
    <w:p>
      <w:pPr>
        <w:widowControl w:val="0"/>
        <w:numPr>
          <w:ilvl w:val="0"/>
          <w:numId w:val="6"/>
        </w:numPr>
        <w:tabs>
          <w:tab w:val="left" w:pos="0"/>
          <w:tab w:val="clear" w:pos="425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społecznej, w tym pomocy rodzinom i osobom w trudnej sytuacji życiowej oraz wyrównywania szans tych rodzin i osób:</w:t>
      </w:r>
    </w:p>
    <w:p>
      <w:pPr>
        <w:widowControl w:val="0"/>
        <w:numPr>
          <w:ilvl w:val="0"/>
          <w:numId w:val="7"/>
        </w:numPr>
        <w:tabs>
          <w:tab w:val="left" w:pos="0"/>
          <w:tab w:val="left" w:pos="800"/>
          <w:tab w:val="clear" w:pos="425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letniego wypoczynku dla dzieci z rodzin ubogich,</w:t>
      </w:r>
    </w:p>
    <w:p>
      <w:pPr>
        <w:pStyle w:val="2"/>
        <w:numPr>
          <w:ilvl w:val="0"/>
          <w:numId w:val="7"/>
        </w:numPr>
        <w:tabs>
          <w:tab w:val="left" w:pos="0"/>
          <w:tab w:val="left" w:pos="800"/>
          <w:tab w:val="clear" w:pos="425"/>
        </w:tabs>
        <w:spacing w:after="0"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prowadzenie terapii indywidualnej oraz terapii grupowej dla osób zagrożonych patologią społeczną i wykluczeniem.</w:t>
      </w:r>
    </w:p>
    <w:p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rzecz osób niepełnosprawnych:</w:t>
      </w:r>
    </w:p>
    <w:p>
      <w:pPr>
        <w:widowControl w:val="0"/>
        <w:numPr>
          <w:ilvl w:val="0"/>
          <w:numId w:val="9"/>
        </w:numPr>
        <w:tabs>
          <w:tab w:val="left" w:pos="0"/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imprezy integracyjnej pod nazwą: „Dzień Godności Osoby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Niepełnosprawnością Intelektualną”,</w:t>
      </w:r>
    </w:p>
    <w:p>
      <w:pPr>
        <w:widowControl w:val="0"/>
        <w:numPr>
          <w:ilvl w:val="0"/>
          <w:numId w:val="9"/>
        </w:numPr>
        <w:tabs>
          <w:tab w:val="left" w:pos="0"/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imprezy integracyjnej pod nazwą „Dzień Seniora”,</w:t>
      </w:r>
    </w:p>
    <w:p>
      <w:pPr>
        <w:widowControl w:val="0"/>
        <w:numPr>
          <w:ilvl w:val="0"/>
          <w:numId w:val="9"/>
        </w:numPr>
        <w:tabs>
          <w:tab w:val="left" w:pos="0"/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„Dzień Seniorów” – przegląd zespołów artystycznych powiatu świdnickiego,</w:t>
      </w:r>
    </w:p>
    <w:p>
      <w:pPr>
        <w:widowControl w:val="0"/>
        <w:numPr>
          <w:ilvl w:val="0"/>
          <w:numId w:val="9"/>
        </w:numPr>
        <w:tabs>
          <w:tab w:val="left" w:pos="0"/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„Dnia Inwalidy” - pikniku rodzinnego (integracja inwalidów poprzez uczestnictwo w imprezach, wycieczkach itp.).</w:t>
      </w:r>
    </w:p>
    <w:p>
      <w:pPr>
        <w:widowControl w:val="0"/>
        <w:numPr>
          <w:ilvl w:val="0"/>
          <w:numId w:val="10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Kultury, sztuki, ochrony dóbr kultury i dziedzictwa narodowego:</w:t>
      </w:r>
    </w:p>
    <w:p>
      <w:pPr>
        <w:widowControl w:val="0"/>
        <w:numPr>
          <w:ilvl w:val="0"/>
          <w:numId w:val="11"/>
        </w:numPr>
        <w:tabs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imprez kulturalnych (festiwali, festynów, przeglądów, koncertów,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konkursów, itp.),</w:t>
      </w:r>
    </w:p>
    <w:p>
      <w:pPr>
        <w:widowControl w:val="0"/>
        <w:numPr>
          <w:ilvl w:val="0"/>
          <w:numId w:val="11"/>
        </w:numPr>
        <w:tabs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zadań z zakresu edukacji kulturalnej,</w:t>
      </w:r>
    </w:p>
    <w:p>
      <w:pPr>
        <w:widowControl w:val="0"/>
        <w:numPr>
          <w:ilvl w:val="0"/>
          <w:numId w:val="11"/>
        </w:numPr>
        <w:tabs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promocja osiągnięć lokalnych twórców i zespołów artystycznych (udział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w festiwalach, przeglądach i koncertach, itp.).</w:t>
      </w:r>
    </w:p>
    <w:p>
      <w:pPr>
        <w:pStyle w:val="5"/>
        <w:widowControl w:val="0"/>
        <w:numPr>
          <w:ilvl w:val="0"/>
          <w:numId w:val="12"/>
        </w:numPr>
        <w:tabs>
          <w:tab w:val="left" w:pos="0"/>
          <w:tab w:val="left" w:pos="454"/>
          <w:tab w:val="left" w:pos="85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Wspierania i upowszechniania kultury fizycznej w gminach: Piaski, Mełgiew, Rybczewice, Trawniki i Świdnik.</w:t>
      </w:r>
    </w:p>
    <w:p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Wspierania zadań publicznych dla organizacji pozarządowych oraz podmiotów wymienionych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w art 3. ust 3 ustawy z dnia 24 kwietnia 2003 r. o działalności pożytku publicznego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i wolontariacie działających na terenie powiatu świdnickiego, realizowanych przez organizacje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w ramach programów finansowanych ze środków pochodzących spoza budżetu Powiatu Świdnickiego.</w:t>
      </w:r>
    </w:p>
    <w:p>
      <w:pPr>
        <w:pStyle w:val="5"/>
        <w:widowControl w:val="0"/>
        <w:numPr>
          <w:ilvl w:val="0"/>
          <w:numId w:val="12"/>
        </w:numPr>
        <w:tabs>
          <w:tab w:val="left" w:pos="0"/>
          <w:tab w:val="left" w:pos="454"/>
          <w:tab w:val="left" w:pos="85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Udzielania nieodpłatnej pomocy prawnej oraz zwiększania świadomości prawnej społeczeństwa. </w:t>
      </w:r>
    </w:p>
    <w:p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społeczno-zawodowa osób zagrożonych wykluczeniem społecznym uczestniczących w Centrum Integracji Społecznej.</w:t>
      </w:r>
    </w:p>
    <w:p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Działalności na rzecz organizacji pozarządowych oraz podmiotów wymienionych w art. 3 </w:t>
      </w:r>
      <w:r>
        <w:rPr>
          <w:rFonts w:hint="default"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>ust. 3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ustawy z dnia 24 kwietnia 2003 r. o działalności pożytku publicznego i wolontariacie działających na terenie powiatu świdnickiego, realizowanych przez organizacje </w:t>
      </w:r>
      <w:bookmarkStart w:id="0" w:name="_GoBack"/>
      <w:bookmarkEnd w:id="0"/>
      <w:r>
        <w:rPr>
          <w:rFonts w:ascii="Times New Roman" w:hAnsi="Times New Roman" w:cs="Times New Roman"/>
        </w:rPr>
        <w:t>w ramach programów finansowanych ze środków pochodzących spoza budżetu Powiatu Świdnickiego.</w:t>
      </w:r>
    </w:p>
    <w:p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forum współpracy organizacji pozarządowych Powiatu Świdnickiego.</w:t>
      </w:r>
    </w:p>
    <w:p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</w:rPr>
        <w:t>Działalności na rzecz rodziny</w:t>
      </w:r>
      <w:r>
        <w:rPr>
          <w:rFonts w:hint="default" w:ascii="Times New Roman" w:hAnsi="Times New Roman" w:eastAsia="SimSun" w:cs="Times New Roman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macierzyństwa, rodzicielstwa, upowszechniania i ochrony praw dziecka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</w:rPr>
        <w:t>organizacja konferencji ,,Polska rodziną silna” mająca na celu promocję wartości rodzinnych.</w:t>
      </w:r>
    </w:p>
    <w:p>
      <w:pPr>
        <w:widowControl w:val="0"/>
        <w:tabs>
          <w:tab w:val="left" w:pos="0"/>
          <w:tab w:val="left" w:pos="420"/>
        </w:tabs>
        <w:suppressAutoHyphens/>
        <w:spacing w:after="0" w:line="360" w:lineRule="auto"/>
        <w:jc w:val="both"/>
        <w:rPr>
          <w:rFonts w:ascii="Times New Roman" w:hAnsi="Times New Roman" w:eastAsia="SimSun" w:cs="Times New Roman"/>
        </w:rPr>
      </w:pPr>
    </w:p>
    <w:p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>
      <w:pPr>
        <w:pStyle w:val="2"/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priorytetowych zadań publicznych zalicza się zadania w zakresie:</w:t>
      </w:r>
    </w:p>
    <w:p>
      <w:pPr>
        <w:pStyle w:val="2"/>
        <w:numPr>
          <w:ilvl w:val="0"/>
          <w:numId w:val="16"/>
        </w:numPr>
        <w:tabs>
          <w:tab w:val="clear" w:pos="425"/>
        </w:tabs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kultury, sztuki, ochrony dóbr kultury i dziedzictwa narodowego,</w:t>
      </w:r>
    </w:p>
    <w:p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wspierania i upowszechniania kultury fizycznej,</w:t>
      </w:r>
    </w:p>
    <w:p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 na rzecz osób niepełnosprawnych.</w:t>
      </w:r>
    </w:p>
    <w:p>
      <w:pPr>
        <w:widowControl w:val="0"/>
        <w:tabs>
          <w:tab w:val="left" w:pos="0"/>
        </w:tabs>
        <w:suppressAutoHyphens/>
        <w:spacing w:after="0" w:line="360" w:lineRule="auto"/>
        <w:ind w:left="425"/>
        <w:rPr>
          <w:rFonts w:ascii="Times New Roman" w:hAnsi="Times New Roman" w:cs="Times New Roman"/>
        </w:rPr>
      </w:pPr>
    </w:p>
    <w:p>
      <w:pPr>
        <w:widowControl w:val="0"/>
        <w:tabs>
          <w:tab w:val="left" w:pos="0"/>
        </w:tabs>
        <w:suppressAutoHyphens/>
        <w:spacing w:after="0" w:line="360" w:lineRule="auto"/>
        <w:ind w:left="425"/>
        <w:rPr>
          <w:rFonts w:ascii="Times New Roman" w:hAnsi="Times New Roman" w:cs="Times New Roman"/>
        </w:rPr>
      </w:pPr>
    </w:p>
    <w:p>
      <w:pPr>
        <w:pStyle w:val="2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>
      <w:pPr>
        <w:pStyle w:val="2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programu odbywa się poprzez ogłoszenie otwartego konkursu ofert na zadania zawarte </w:t>
      </w:r>
      <w:r>
        <w:rPr>
          <w:rFonts w:cs="Times New Roman"/>
          <w:sz w:val="22"/>
          <w:szCs w:val="22"/>
        </w:rPr>
        <w:br w:type="textWrapping"/>
      </w:r>
      <w:r>
        <w:rPr>
          <w:rFonts w:cs="Times New Roman"/>
          <w:sz w:val="22"/>
          <w:szCs w:val="22"/>
        </w:rPr>
        <w:t>w § 6.</w:t>
      </w:r>
    </w:p>
    <w:p>
      <w:pPr>
        <w:pStyle w:val="2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Właściwa komórka organizacyjna Starostwa Powiatowego w Świdniku prowadzi bezpośrednią współpracę z organizacjami oraz z podmiotami wymienionymi w art. 3 ust. 3 ustawy </w:t>
      </w:r>
      <w:r>
        <w:rPr>
          <w:rFonts w:cs="Times New Roman"/>
          <w:sz w:val="22"/>
          <w:szCs w:val="22"/>
        </w:rPr>
        <w:br w:type="textWrapping"/>
      </w:r>
      <w:r>
        <w:rPr>
          <w:rFonts w:cs="Times New Roman"/>
          <w:sz w:val="22"/>
          <w:szCs w:val="22"/>
        </w:rPr>
        <w:t>o działalności pożytku publicznego i wolontariacie, która w szczególności polega na:</w:t>
      </w:r>
    </w:p>
    <w:p>
      <w:pPr>
        <w:pStyle w:val="2"/>
        <w:numPr>
          <w:ilvl w:val="0"/>
          <w:numId w:val="18"/>
        </w:numPr>
        <w:tabs>
          <w:tab w:val="clear" w:pos="425"/>
        </w:tabs>
        <w:spacing w:after="0"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Przygotowaniu i przeprowadzeniu konkursów ofert dla organizacji pozarządowych oraz podmiotów wymienionych w art. 3 ust. 3 ustawy o działalności pożytku publicznego </w:t>
      </w:r>
      <w:r>
        <w:rPr>
          <w:rFonts w:cs="Times New Roman"/>
          <w:sz w:val="22"/>
          <w:szCs w:val="22"/>
        </w:rPr>
        <w:br w:type="textWrapping"/>
      </w:r>
      <w:r>
        <w:rPr>
          <w:rFonts w:cs="Times New Roman"/>
          <w:sz w:val="22"/>
          <w:szCs w:val="22"/>
        </w:rPr>
        <w:t>i wolontariacie.</w:t>
      </w:r>
    </w:p>
    <w:p>
      <w:pPr>
        <w:pStyle w:val="2"/>
        <w:numPr>
          <w:ilvl w:val="0"/>
          <w:numId w:val="18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Weryfikacji i kontroli prawidłowości wydatkowania środków finansowych przekazywanych na realizację zadań publicznych.</w:t>
      </w:r>
    </w:p>
    <w:p>
      <w:pPr>
        <w:pStyle w:val="5"/>
        <w:widowControl w:val="0"/>
        <w:numPr>
          <w:ilvl w:val="0"/>
          <w:numId w:val="19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realizowany będzie w 2021 roku.</w:t>
      </w:r>
    </w:p>
    <w:p>
      <w:pPr>
        <w:pStyle w:val="5"/>
        <w:widowControl w:val="0"/>
        <w:tabs>
          <w:tab w:val="left" w:pos="0"/>
          <w:tab w:val="left" w:pos="420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>
      <w:pPr>
        <w:pStyle w:val="2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9</w:t>
      </w:r>
    </w:p>
    <w:p>
      <w:pPr>
        <w:pStyle w:val="2"/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Wysokość środków finansowych planowanych na realizację programu wynosi 63000 zł.</w:t>
      </w:r>
    </w:p>
    <w:p>
      <w:pPr>
        <w:pStyle w:val="2"/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 w:val="22"/>
          <w:szCs w:val="22"/>
        </w:rPr>
      </w:pPr>
    </w:p>
    <w:p>
      <w:pPr>
        <w:pStyle w:val="2"/>
        <w:tabs>
          <w:tab w:val="left" w:pos="0"/>
        </w:tabs>
        <w:spacing w:after="0"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10</w:t>
      </w:r>
    </w:p>
    <w:p>
      <w:pPr>
        <w:pStyle w:val="2"/>
        <w:numPr>
          <w:ilvl w:val="0"/>
          <w:numId w:val="20"/>
        </w:numPr>
        <w:spacing w:line="360" w:lineRule="auto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Oceny realizacji </w:t>
      </w:r>
      <w:r>
        <w:rPr>
          <w:rFonts w:cs="Times New Roman"/>
          <w:bCs/>
          <w:sz w:val="22"/>
          <w:szCs w:val="22"/>
        </w:rPr>
        <w:t>Programu dokonuje Zarząd Powiatu w Świdniku.</w:t>
      </w:r>
    </w:p>
    <w:p>
      <w:pPr>
        <w:pStyle w:val="2"/>
        <w:numPr>
          <w:ilvl w:val="0"/>
          <w:numId w:val="20"/>
        </w:numPr>
        <w:spacing w:line="360" w:lineRule="auto"/>
        <w:ind w:left="426" w:hanging="426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Organizacje pozarządowe mogą na bieżąco zgłaszać swoje uwagi, wnioski i propozycje dotyczące bieżącej realizacji niniejszego Programu współpracy kierując je do Zarządu Powiatu </w:t>
      </w:r>
      <w:r>
        <w:rPr>
          <w:rFonts w:cs="Times New Roman"/>
          <w:bCs/>
          <w:sz w:val="22"/>
          <w:szCs w:val="22"/>
        </w:rPr>
        <w:br w:type="textWrapping"/>
      </w:r>
      <w:r>
        <w:rPr>
          <w:rFonts w:cs="Times New Roman"/>
          <w:bCs/>
          <w:sz w:val="22"/>
          <w:szCs w:val="22"/>
        </w:rPr>
        <w:t>w Świdniku.</w:t>
      </w:r>
    </w:p>
    <w:p>
      <w:pPr>
        <w:pStyle w:val="2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Przy ocenie realizacji Programu będą brane pod uwagę następujące wskaźniki: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ogłoszonych otwartych konkursów ofert,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ofert realizacji zadania publicznego złożonych z własnej  inicjatywy  przez organizacje pozarządowe,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zawartych umów na realizację zadań,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liczba rozwiązanych umów, 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wysokość przekazanych środków finansowych,</w:t>
      </w:r>
    </w:p>
    <w:p>
      <w:pPr>
        <w:pStyle w:val="7"/>
        <w:numPr>
          <w:ilvl w:val="0"/>
          <w:numId w:val="21"/>
        </w:numPr>
        <w:tabs>
          <w:tab w:val="clear" w:pos="425"/>
        </w:tabs>
        <w:spacing w:after="240"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ostatecznych adresatów realizowanych zadań publicznych.</w:t>
      </w:r>
    </w:p>
    <w:p>
      <w:pPr>
        <w:pStyle w:val="2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>
      <w:pPr>
        <w:pStyle w:val="2"/>
        <w:tabs>
          <w:tab w:val="left" w:pos="0"/>
        </w:tabs>
        <w:spacing w:after="0"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11</w:t>
      </w:r>
    </w:p>
    <w:p>
      <w:pPr>
        <w:pStyle w:val="2"/>
        <w:numPr>
          <w:ilvl w:val="0"/>
          <w:numId w:val="22"/>
        </w:numPr>
        <w:tabs>
          <w:tab w:val="left" w:pos="0"/>
          <w:tab w:val="clear" w:pos="425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Konsultacje Programu odbywały się w sposób określony w uchwale Nr XLVIII/245/10 Rady Powiatu w Świdniku z dnia 28 września 2010 r. w sprawie określenia szczegółowego sposobu konsultowania z organizacjami pozarządowymi i innymi podmiotami projektów aktów prawa miejscowego w dziedzinach dotyczących ich działalności statutowej oraz uchwały nr XLIII/272/14 Rady Powiatu w Świdniku z dnia 15 lipca 2014 r. w sprawie uchwalenia „Procedury Przeprowadzania Konsultacji Społecznych w Powiecie Świdnickim”.</w:t>
      </w:r>
    </w:p>
    <w:p>
      <w:pPr>
        <w:pStyle w:val="2"/>
        <w:numPr>
          <w:ilvl w:val="0"/>
          <w:numId w:val="22"/>
        </w:numPr>
        <w:tabs>
          <w:tab w:val="left" w:pos="0"/>
          <w:tab w:val="clear" w:pos="425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Informacje o konsultacjach w formie zapytania ankietowego na temat projektu Programu Współpracy zostały zamieszczone w Biuletynie Informacji Publicznej, na stronie internetowej </w:t>
      </w:r>
      <w:r>
        <w:rPr>
          <w:rFonts w:cs="Times New Roman"/>
          <w:sz w:val="22"/>
          <w:szCs w:val="22"/>
        </w:rPr>
        <w:br w:type="textWrapping"/>
      </w:r>
      <w:r>
        <w:rPr>
          <w:rFonts w:cs="Times New Roman"/>
          <w:sz w:val="22"/>
          <w:szCs w:val="22"/>
        </w:rPr>
        <w:t>i tablicy informacyjnej Starostwa Powiatowego w Świdniku.</w:t>
      </w:r>
    </w:p>
    <w:p>
      <w:pPr>
        <w:pStyle w:val="2"/>
        <w:numPr>
          <w:ilvl w:val="0"/>
          <w:numId w:val="22"/>
        </w:numPr>
        <w:tabs>
          <w:tab w:val="left" w:pos="0"/>
          <w:tab w:val="clear" w:pos="425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Przeanalizowano wszystkie uwagi zgłoszone przez organizacje na formularzach ankietowych, </w:t>
      </w:r>
      <w:r>
        <w:rPr>
          <w:rFonts w:cs="Times New Roman"/>
          <w:sz w:val="22"/>
          <w:szCs w:val="22"/>
        </w:rPr>
        <w:br w:type="textWrapping"/>
      </w:r>
      <w:r>
        <w:rPr>
          <w:rFonts w:cs="Times New Roman"/>
          <w:sz w:val="22"/>
          <w:szCs w:val="22"/>
        </w:rPr>
        <w:t xml:space="preserve">z czego uwzględniono jedną uwagę. </w:t>
      </w:r>
    </w:p>
    <w:p>
      <w:pPr>
        <w:pStyle w:val="2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>
      <w:pPr>
        <w:pStyle w:val="2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12</w:t>
      </w:r>
    </w:p>
    <w:p>
      <w:pPr>
        <w:pStyle w:val="2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Tryb powoływania i zasady działania komisji konkursowych: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Komisje konkursowe powoływane są przez Zarząd Powiatu w Świdniku.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Komisje mogą mieć charakter stały (wieloletni),  lub doraźny – do danego roku lub konkursu. Zarząd Powiatu może też zdecydować o powołaniu odrębnej komisji do wyboru ofert w danej dziedzinie pożytku publicznego.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 komisji liczy 3 członków posiadających prawo oceniania ofert. Komisją kieruje przewodniczący.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komisji mogą być powołane osoby, które wyraziły na to zgodę.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Komisja konkursowa dokonuje otwarcia kopert z ofertami w dniu i o godzinie, wyznaczonych 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w ogłoszeniu o konkursie, w obecności pełnego składu powołanej komisji.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wstępie komisja dokonuje na każdej z ofert poświadczenia jej wpływu w rubryce „Poświadczenie złożenia oferty”, a następnie dokonuje podziału ofert na grupy odpowiadające poszczególnym dziedzinom zadań pożytku publicznego (kultura fizyczna,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kultura itd.).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i zawarcia w nich wszystkich danych wynikających z wzoru oferty i ogłoszenia o konkursie.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Członkowie komisji opiniują oferty, przyznając ofertom podlegającym rozpatrywaniu liczbę punktów w skali od 0 do 10.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Średnią liczbę punktów całego składu komisji wpisuje się do odpowiedniej rubryki oferty. Wpis potwierdza przewodniczący komisji własnoręcznym podpisem.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oferty podmiotów, które uzyskały największą liczbę punktów, wpisuje się propozycję zawarcia umowy z tym podmiotem, kwotę proponowanej dotacji oraz uzasadnienie opinii. Wpis potwierdza przewodniczący komisji własnoręcznym podpisem.</w:t>
      </w:r>
    </w:p>
    <w:p>
      <w:pPr>
        <w:pStyle w:val="8"/>
        <w:numPr>
          <w:ilvl w:val="0"/>
          <w:numId w:val="23"/>
        </w:numPr>
        <w:tabs>
          <w:tab w:val="left" w:pos="0"/>
          <w:tab w:val="clear" w:pos="4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Każdą czynność komisji konkursowej wpisuje się do protokołu z posiedzenia zawierającego 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w szczególności: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datę konkursu,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 komisji konkursowej,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nazwy podmiotów, które nie spełniają wymogów formalnych, o których mowa w § 12 pkt. 7,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liczbę punktów przyznanych poszczególnym podmiotom wraz z uzasadnieniem,</w:t>
      </w:r>
    </w:p>
    <w:p>
      <w:pPr>
        <w:pStyle w:val="8"/>
        <w:numPr>
          <w:ilvl w:val="0"/>
          <w:numId w:val="24"/>
        </w:numPr>
        <w:tabs>
          <w:tab w:val="left" w:pos="0"/>
          <w:tab w:val="left" w:pos="400"/>
          <w:tab w:val="clear" w:pos="425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podpisy członków komisji.</w:t>
      </w:r>
    </w:p>
    <w:p>
      <w:pPr>
        <w:pStyle w:val="8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Przewodniczący komisji konkursowej niezwłocznie po zakończeniu prac komisji – nie dłużej niż w terminie 3 dni roboczych – przekazuje całość dokumentacji konkursowej Zarządowi Powiatu.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1E4DC"/>
    <w:multiLevelType w:val="singleLevel"/>
    <w:tmpl w:val="80C1E4DC"/>
    <w:lvl w:ilvl="0" w:tentative="0">
      <w:start w:val="9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F36D0A5"/>
    <w:multiLevelType w:val="singleLevel"/>
    <w:tmpl w:val="8F36D0A5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3AC146D"/>
    <w:multiLevelType w:val="singleLevel"/>
    <w:tmpl w:val="A3AC146D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F4554FF1"/>
    <w:multiLevelType w:val="singleLevel"/>
    <w:tmpl w:val="F4554FF1"/>
    <w:lvl w:ilvl="0" w:tentative="0">
      <w:start w:val="3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F7DD3470"/>
    <w:multiLevelType w:val="singleLevel"/>
    <w:tmpl w:val="F7DD3470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FF192B93"/>
    <w:multiLevelType w:val="singleLevel"/>
    <w:tmpl w:val="FF192B9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00A91110"/>
    <w:multiLevelType w:val="multilevel"/>
    <w:tmpl w:val="00A91110"/>
    <w:lvl w:ilvl="0" w:tentative="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80EEE"/>
    <w:multiLevelType w:val="multilevel"/>
    <w:tmpl w:val="04D80E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0AB84"/>
    <w:multiLevelType w:val="singleLevel"/>
    <w:tmpl w:val="0970AB8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D7A9554"/>
    <w:multiLevelType w:val="singleLevel"/>
    <w:tmpl w:val="0D7A955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2A037D9D"/>
    <w:multiLevelType w:val="multilevel"/>
    <w:tmpl w:val="2A037D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93C4D"/>
    <w:multiLevelType w:val="multilevel"/>
    <w:tmpl w:val="32F93C4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8F5A"/>
    <w:multiLevelType w:val="singleLevel"/>
    <w:tmpl w:val="345E8F5A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34FE0A8C"/>
    <w:multiLevelType w:val="singleLevel"/>
    <w:tmpl w:val="34FE0A8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39CC120F"/>
    <w:multiLevelType w:val="multilevel"/>
    <w:tmpl w:val="39CC12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4FFA"/>
    <w:multiLevelType w:val="singleLevel"/>
    <w:tmpl w:val="420D4FFA"/>
    <w:lvl w:ilvl="0" w:tentative="0">
      <w:start w:val="12"/>
      <w:numFmt w:val="decimal"/>
      <w:lvlText w:val="%1."/>
      <w:lvlJc w:val="left"/>
      <w:pPr>
        <w:tabs>
          <w:tab w:val="left" w:pos="454"/>
        </w:tabs>
        <w:ind w:left="454" w:hanging="454"/>
      </w:pPr>
      <w:rPr>
        <w:rFonts w:hint="default"/>
      </w:rPr>
    </w:lvl>
  </w:abstractNum>
  <w:abstractNum w:abstractNumId="16">
    <w:nsid w:val="4CDE253F"/>
    <w:multiLevelType w:val="multilevel"/>
    <w:tmpl w:val="4CDE253F"/>
    <w:lvl w:ilvl="0" w:tentative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A804"/>
    <w:multiLevelType w:val="singleLevel"/>
    <w:tmpl w:val="522EA8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556B28D4"/>
    <w:multiLevelType w:val="multilevel"/>
    <w:tmpl w:val="556B28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A0828"/>
    <w:multiLevelType w:val="multilevel"/>
    <w:tmpl w:val="59BA08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638DF"/>
    <w:multiLevelType w:val="singleLevel"/>
    <w:tmpl w:val="5F6638D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738BF9C0"/>
    <w:multiLevelType w:val="singleLevel"/>
    <w:tmpl w:val="738BF9C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>
    <w:nsid w:val="7596D874"/>
    <w:multiLevelType w:val="singleLevel"/>
    <w:tmpl w:val="7596D87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>
    <w:nsid w:val="76ACF485"/>
    <w:multiLevelType w:val="singleLevel"/>
    <w:tmpl w:val="76ACF485"/>
    <w:lvl w:ilvl="0" w:tentative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>
    <w:nsid w:val="7B8322FF"/>
    <w:multiLevelType w:val="multilevel"/>
    <w:tmpl w:val="7B8322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23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21"/>
  </w:num>
  <w:num w:numId="14">
    <w:abstractNumId w:val="0"/>
  </w:num>
  <w:num w:numId="15">
    <w:abstractNumId w:val="22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11"/>
  </w:num>
  <w:num w:numId="21">
    <w:abstractNumId w:val="8"/>
  </w:num>
  <w:num w:numId="22">
    <w:abstractNumId w:val="9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8C"/>
    <w:rsid w:val="00030121"/>
    <w:rsid w:val="001D2FC4"/>
    <w:rsid w:val="00A3708C"/>
    <w:rsid w:val="00A80F0E"/>
    <w:rsid w:val="00D71850"/>
    <w:rsid w:val="0B3265BB"/>
    <w:rsid w:val="7CC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6"/>
    <w:pPr>
      <w:widowControl w:val="0"/>
      <w:suppressAutoHyphens/>
      <w:spacing w:after="12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podstawowy Znak"/>
    <w:basedOn w:val="3"/>
    <w:link w:val="2"/>
    <w:qFormat/>
    <w:uiPriority w:val="6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7">
    <w:name w:val="Default"/>
    <w:basedOn w:val="1"/>
    <w:uiPriority w:val="6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8">
    <w:name w:val="Normalny (Web)1"/>
    <w:basedOn w:val="1"/>
    <w:uiPriority w:val="7"/>
    <w:pPr>
      <w:widowControl w:val="0"/>
      <w:suppressAutoHyphens/>
      <w:spacing w:before="100" w:after="119" w:line="240" w:lineRule="auto"/>
    </w:pPr>
    <w:rPr>
      <w:rFonts w:ascii="Arial Unicode MS" w:hAnsi="Arial Unicode MS" w:eastAsia="Arial Unicode MS" w:cs="Arial Narrow"/>
      <w:kern w:val="1"/>
      <w:sz w:val="24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SPS</Company>
  <Pages>7</Pages>
  <Words>1689</Words>
  <Characters>10138</Characters>
  <Lines>84</Lines>
  <Paragraphs>23</Paragraphs>
  <TotalTime>10</TotalTime>
  <ScaleCrop>false</ScaleCrop>
  <LinksUpToDate>false</LinksUpToDate>
  <CharactersWithSpaces>11804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2020-10-19T09:40:00Z</dcterms:created>
  <dc:creator>Wiwiana Cajzer</dc:creator>
  <cp:lastModifiedBy>omichalowska</cp:lastModifiedBy>
  <cp:lastPrinted>2020-10-19T12:47:05Z</cp:lastPrinted>
  <dcterms:modified xsi:type="dcterms:W3CDTF">2020-10-19T12:49:03Z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