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B3" w:rsidRPr="00B10AB3" w:rsidRDefault="00B10AB3" w:rsidP="00B10AB3">
      <w:pPr>
        <w:jc w:val="center"/>
        <w:rPr>
          <w:rFonts w:ascii="Times New Roman" w:hAnsi="Times New Roman" w:cs="Times New Roman"/>
          <w:b/>
          <w:bCs/>
        </w:rPr>
      </w:pPr>
      <w:r w:rsidRPr="00B10AB3">
        <w:rPr>
          <w:rFonts w:ascii="Times New Roman" w:hAnsi="Times New Roman" w:cs="Times New Roman"/>
          <w:b/>
          <w:bCs/>
        </w:rPr>
        <w:t>Obowiązki Stowarzyszeń i Fundacji wynikające z nowej ustawy o przeciwdziałaniu praniu pieniędzy i finansowaniu terroryzmu.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Z dniem 13 lipca 2018 r. weszły w życie przepisy nowej ustawy z dnia 1 marca 2018 r.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10AB3">
        <w:rPr>
          <w:rFonts w:ascii="Times New Roman" w:hAnsi="Times New Roman" w:cs="Times New Roman"/>
        </w:rPr>
        <w:t>o</w:t>
      </w:r>
      <w:r w:rsidRPr="00B10AB3">
        <w:rPr>
          <w:rFonts w:ascii="Times New Roman" w:hAnsi="Times New Roman" w:cs="Times New Roman"/>
        </w:rPr>
        <w:t xml:space="preserve"> </w:t>
      </w:r>
      <w:r w:rsidRPr="00B10AB3">
        <w:rPr>
          <w:rFonts w:ascii="Times New Roman" w:hAnsi="Times New Roman" w:cs="Times New Roman"/>
        </w:rPr>
        <w:t xml:space="preserve">przeciwdziałaniu praniu pieniędzy oraz finansowaniu terroryzmu (Dz. U. </w:t>
      </w:r>
      <w:r w:rsidR="00A34BDE">
        <w:rPr>
          <w:rFonts w:ascii="Times New Roman" w:hAnsi="Times New Roman" w:cs="Times New Roman"/>
        </w:rPr>
        <w:t xml:space="preserve"> z 2022 r. </w:t>
      </w:r>
      <w:r w:rsidRPr="00B10AB3">
        <w:rPr>
          <w:rFonts w:ascii="Times New Roman" w:hAnsi="Times New Roman" w:cs="Times New Roman"/>
        </w:rPr>
        <w:t xml:space="preserve">poz. </w:t>
      </w:r>
      <w:r w:rsidR="00A34BDE">
        <w:rPr>
          <w:rFonts w:ascii="Times New Roman" w:hAnsi="Times New Roman" w:cs="Times New Roman"/>
        </w:rPr>
        <w:t>593</w:t>
      </w:r>
      <w:r w:rsidRPr="00B10AB3">
        <w:rPr>
          <w:rFonts w:ascii="Times New Roman" w:hAnsi="Times New Roman" w:cs="Times New Roman"/>
        </w:rPr>
        <w:t xml:space="preserve"> z późn. zm.). Celem ustawy jest dostosowanie prawa krajowego do unijnych dyrektyw, a także zwiększenie efektywności systemu przeciwdziałania praniu pieniędzy oraz finansowaniu terroryzmu.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Ustawa wprowadza nowy katalog „instytucji obowiązanych”, na których ciąży obowiązek stosowania środków bezpieczeństwa finansowego oraz inne obowiązki związane z podejmowaniem określonych działań w celu przeciwdziałania wprowadzania do obrotu wartości majątkowych pochodzących </w:t>
      </w:r>
      <w:r>
        <w:rPr>
          <w:rFonts w:ascii="Times New Roman" w:hAnsi="Times New Roman" w:cs="Times New Roman"/>
        </w:rPr>
        <w:t xml:space="preserve">                 </w:t>
      </w:r>
      <w:r w:rsidRPr="00B10AB3">
        <w:rPr>
          <w:rFonts w:ascii="Times New Roman" w:hAnsi="Times New Roman" w:cs="Times New Roman"/>
        </w:rPr>
        <w:t xml:space="preserve">z nielegalnych lub nieujawnionych źródeł.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  <w:b/>
          <w:bCs/>
        </w:rPr>
      </w:pPr>
      <w:r w:rsidRPr="00B10AB3">
        <w:rPr>
          <w:rFonts w:ascii="Times New Roman" w:hAnsi="Times New Roman" w:cs="Times New Roman"/>
          <w:b/>
          <w:bCs/>
        </w:rPr>
        <w:t>Do instytucji obowiązanych zalicza się m.in.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1) </w:t>
      </w:r>
      <w:r w:rsidRPr="00B10AB3">
        <w:rPr>
          <w:rFonts w:ascii="Times New Roman" w:hAnsi="Times New Roman" w:cs="Times New Roman"/>
          <w:b/>
          <w:bCs/>
        </w:rPr>
        <w:t>fundacje</w:t>
      </w:r>
      <w:r w:rsidRPr="00B10AB3">
        <w:rPr>
          <w:rFonts w:ascii="Times New Roman" w:hAnsi="Times New Roman" w:cs="Times New Roman"/>
        </w:rPr>
        <w:t xml:space="preserve"> ustanowione na podstawie ustawy z dnia 6 kwietnia 1984 r. o fundacjach (Dz. U. z 20</w:t>
      </w:r>
      <w:r>
        <w:rPr>
          <w:rFonts w:ascii="Times New Roman" w:hAnsi="Times New Roman" w:cs="Times New Roman"/>
        </w:rPr>
        <w:t>20</w:t>
      </w:r>
      <w:r w:rsidRPr="00B10AB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2167</w:t>
      </w:r>
      <w:r w:rsidRPr="00B10AB3">
        <w:rPr>
          <w:rFonts w:ascii="Times New Roman" w:hAnsi="Times New Roman" w:cs="Times New Roman"/>
        </w:rPr>
        <w:t xml:space="preserve">) w zakresie, w jakim przyjmują lub dokonują płatności w gotówce o wartości równej lub przekraczającej równowartość 10 000 euro, bez względu na to, czy płatność jest przeprowadzana jako pojedyncza operacja, czy kilka operacji, które wydają się ze sobą powiązane – 2 ust. 1 pkt 21 ustawy,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2) </w:t>
      </w:r>
      <w:r w:rsidRPr="00B10AB3">
        <w:rPr>
          <w:rFonts w:ascii="Times New Roman" w:hAnsi="Times New Roman" w:cs="Times New Roman"/>
          <w:b/>
          <w:bCs/>
        </w:rPr>
        <w:t>stowarzyszenia</w:t>
      </w:r>
      <w:r w:rsidRPr="00B10AB3">
        <w:rPr>
          <w:rFonts w:ascii="Times New Roman" w:hAnsi="Times New Roman" w:cs="Times New Roman"/>
        </w:rPr>
        <w:t xml:space="preserve"> posiadające osobowość prawną, utworzone na podstawie ustawy z dnia 7 kwietnia 1989 r. – Prawo o stowarzyszeniach (Dz. U. z </w:t>
      </w:r>
      <w:r w:rsidR="00F80DF1">
        <w:rPr>
          <w:rFonts w:ascii="Times New Roman" w:hAnsi="Times New Roman" w:cs="Times New Roman"/>
        </w:rPr>
        <w:t>2020</w:t>
      </w:r>
      <w:r w:rsidRPr="00B10AB3">
        <w:rPr>
          <w:rFonts w:ascii="Times New Roman" w:hAnsi="Times New Roman" w:cs="Times New Roman"/>
        </w:rPr>
        <w:t xml:space="preserve"> r. poz. </w:t>
      </w:r>
      <w:r w:rsidR="00F80DF1">
        <w:rPr>
          <w:rFonts w:ascii="Times New Roman" w:hAnsi="Times New Roman" w:cs="Times New Roman"/>
        </w:rPr>
        <w:t>2261</w:t>
      </w:r>
      <w:r w:rsidRPr="00B10AB3">
        <w:rPr>
          <w:rFonts w:ascii="Times New Roman" w:hAnsi="Times New Roman" w:cs="Times New Roman"/>
        </w:rPr>
        <w:t xml:space="preserve">.), w zakresie, w jakim przyjmują lub dokonują płatności w gotówce o wartości równej lub przekraczającej równowartość </w:t>
      </w:r>
      <w:bookmarkStart w:id="0" w:name="_GoBack"/>
      <w:bookmarkEnd w:id="0"/>
      <w:r w:rsidRPr="00B10AB3">
        <w:rPr>
          <w:rFonts w:ascii="Times New Roman" w:hAnsi="Times New Roman" w:cs="Times New Roman"/>
        </w:rPr>
        <w:t>10 000 euro, bez względu na to, czy płatność jest przeprowadzana jako pojedyncza operacja, czy kilka operacji, które wydają się ze sobą powiązane – 2 ust. 1 pkt 22 ustawy.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Jednocześnie należy zwrócić uwagę, że zgodnie z art. 2 ust. 1 pkt 20 instytucją obowiązaną jest również podmiot, który prowadzi działalność w zakresie gier losowych w rozumieniu ustawy z dnia 19 listopada 2009 r. o grach hazardowych (Dz. U. z 20</w:t>
      </w:r>
      <w:r w:rsidR="00F80DF1">
        <w:rPr>
          <w:rFonts w:ascii="Times New Roman" w:hAnsi="Times New Roman" w:cs="Times New Roman"/>
        </w:rPr>
        <w:t>20</w:t>
      </w:r>
      <w:r w:rsidRPr="00B10AB3">
        <w:rPr>
          <w:rFonts w:ascii="Times New Roman" w:hAnsi="Times New Roman" w:cs="Times New Roman"/>
        </w:rPr>
        <w:t xml:space="preserve"> r. poz. </w:t>
      </w:r>
      <w:r w:rsidR="00F80DF1">
        <w:rPr>
          <w:rFonts w:ascii="Times New Roman" w:hAnsi="Times New Roman" w:cs="Times New Roman"/>
        </w:rPr>
        <w:t>2094</w:t>
      </w:r>
      <w:r w:rsidRPr="00B10AB3">
        <w:rPr>
          <w:rFonts w:ascii="Times New Roman" w:hAnsi="Times New Roman" w:cs="Times New Roman"/>
        </w:rPr>
        <w:t xml:space="preserve"> z późn. zm.) – taką grą jest przykładowo charytatywna gra fantowa, popularna wśród organizacji pozarządowych.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  <w:b/>
          <w:bCs/>
        </w:rPr>
      </w:pPr>
      <w:r w:rsidRPr="00B10AB3">
        <w:rPr>
          <w:rFonts w:ascii="Times New Roman" w:hAnsi="Times New Roman" w:cs="Times New Roman"/>
          <w:b/>
          <w:bCs/>
        </w:rPr>
        <w:t xml:space="preserve">Do obowiązków instytucji obowiązanych należy m.in.: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wyznaczenie spośród członków zarządu osoby odpowiedzialnej za wdrożenie obowiązków określonych w ustawie (art. 7),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1) wyznaczenie pracownika zajmującego kierownicze stanowisko odpowiedzialnego za zapewnienie zgodności działalności instytucji obowiązanej oraz jej pracowników i innych osób wykonujących czynności na rzecz instytucji obowiązanej z przepisami o przeciwdziałaniu praniu pieniędzy oraz finansowaniu terroryzmu. Wyznaczony pracownik jest również odpowiedzialny za przekazywanie </w:t>
      </w:r>
      <w:r>
        <w:rPr>
          <w:rFonts w:ascii="Times New Roman" w:hAnsi="Times New Roman" w:cs="Times New Roman"/>
        </w:rPr>
        <w:t xml:space="preserve">                 </w:t>
      </w:r>
      <w:r w:rsidRPr="00B10AB3">
        <w:rPr>
          <w:rFonts w:ascii="Times New Roman" w:hAnsi="Times New Roman" w:cs="Times New Roman"/>
        </w:rPr>
        <w:t xml:space="preserve">w imieniu instytucji obowiązanej Generalnemu Inspektorowi Informacji Finansowej, zawiadomień </w:t>
      </w:r>
      <w:r>
        <w:rPr>
          <w:rFonts w:ascii="Times New Roman" w:hAnsi="Times New Roman" w:cs="Times New Roman"/>
        </w:rPr>
        <w:t xml:space="preserve">                </w:t>
      </w:r>
      <w:r w:rsidRPr="00B10AB3">
        <w:rPr>
          <w:rFonts w:ascii="Times New Roman" w:hAnsi="Times New Roman" w:cs="Times New Roman"/>
        </w:rPr>
        <w:t xml:space="preserve">o transakcjach (art.8),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>2) identyfikacja i ocena ryzyka związanego z praniem pieniędzy i finansowaniem terroryzmu odnoszącego się do działalności fundacji i stowarzyszeń oraz sporządzanie w postaci papierowej lub elektronicznej oceny tego ryzyka (art. 27),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3) stosowanie środków bezpieczeństwa finansowego wobec klientów fundacji i stowarzyszeń(art. 33 – 37, art. 39 i art. 41),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4) stosowanie wzmożonych środków bezpieczeństwa finansowego w przypadkach wyższego ryzyka prania pieniędzy lub finansowania terroryzmu (art. 43, art. 44 i art. 46),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>5) dokumentowanie zastosowanych środków bezpieczeństwa finansowego oraz wyników bieżącej analizy przeprowadzanych transakcji (art. 34 ust. 3),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lastRenderedPageBreak/>
        <w:t xml:space="preserve"> 6) prowadzenia bieżącej analizy przeprowadzanych transakcji, w stosunku do klientów wobec, których stosuje się wzmożone środki bezpieczeństwa finansowego (art. 43 ust. 3),</w:t>
      </w:r>
      <w:r w:rsidRPr="00B10AB3">
        <w:rPr>
          <w:rFonts w:ascii="Times New Roman" w:hAnsi="Times New Roman" w:cs="Times New Roman"/>
        </w:rPr>
        <w:pgNum/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7) podejmowanie działań określonych w art. 43 ust. 4 w przypadku ujawnienia transakcji nietypowej, nienaturalnie złożonej oraz opiewającej na wysokie kwoty, które wydają się nie mieć uzasadnienia prawnego lub gospodarczego,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>8) przechowywanie dokumentacji uzyskanej w wyniku stosowania środków bezpieczeństwa finansowego oraz dowodów m.in. potwierdzających przeprowadzane transakcje (art. 49),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9) wprowadzenie wewnętrznej procedury w zakresie przeciwdziałania praniu pieniędzy oraz finasowaniu terroryzmu (art. 50),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>10) przekazywanie do Generalnego Inspektora Informacji Finansowej informacji o przyjętej wpłacie lub dokonanej wypłacie środków pieniężnych o równowartości przekraczającej 15 000 euro (art. 72 ust. 1 pkt 1),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11) zawiadamianie w trybie i na zasadach określonych w ustawie Generalnego Inspektora Informacji Finansowej o okolicznościach, które mogą wskazywać na podejrzenie popełnienia przestępstwa prania pieniędzy lub finansowania terroryzmu (art. 74),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12) wstrzymywanie transakcji w trybie i na zasadach określonych w ustawie (art. 86),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13) stosowanie szczególnych środków ograniczających wobec osób i podmiotów określonych </w:t>
      </w:r>
      <w:r>
        <w:rPr>
          <w:rFonts w:ascii="Times New Roman" w:hAnsi="Times New Roman" w:cs="Times New Roman"/>
        </w:rPr>
        <w:t xml:space="preserve">                      </w:t>
      </w:r>
      <w:r w:rsidRPr="00B10AB3">
        <w:rPr>
          <w:rFonts w:ascii="Times New Roman" w:hAnsi="Times New Roman" w:cs="Times New Roman"/>
        </w:rPr>
        <w:t xml:space="preserve">w ustawie (art. 117).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Zgodnie z art. 130 ustawy, fundacje oraz stowarzyszenia będące instytucjami obowiązanymi </w:t>
      </w:r>
      <w:r>
        <w:rPr>
          <w:rFonts w:ascii="Times New Roman" w:hAnsi="Times New Roman" w:cs="Times New Roman"/>
        </w:rPr>
        <w:t xml:space="preserve">                            </w:t>
      </w:r>
      <w:r w:rsidRPr="00B10AB3">
        <w:rPr>
          <w:rFonts w:ascii="Times New Roman" w:hAnsi="Times New Roman" w:cs="Times New Roman"/>
        </w:rPr>
        <w:t xml:space="preserve">w rozumieniu ustawy, podlegają kontroli wykonywania ww. obowiązków. Kontrolę sprawuje: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1) Generalny Inspektor Informacji Finansowej będący równocześnie koordynatorem kontroli,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2) naczelnicy urzędów celno-skarbowych,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3) właściwy minister lub starosta w przypadku fundacji – na zasadach określonych w ustawie </w:t>
      </w:r>
      <w:r>
        <w:rPr>
          <w:rFonts w:ascii="Times New Roman" w:hAnsi="Times New Roman" w:cs="Times New Roman"/>
        </w:rPr>
        <w:t xml:space="preserve">                         </w:t>
      </w:r>
      <w:r w:rsidRPr="00B10AB3">
        <w:rPr>
          <w:rFonts w:ascii="Times New Roman" w:hAnsi="Times New Roman" w:cs="Times New Roman"/>
        </w:rPr>
        <w:t xml:space="preserve">o fundacjach,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4) wojewoda lub starosta w przypadku stowarzyszeń – na zasadach określonych w ustawie Prawo </w:t>
      </w:r>
      <w:r>
        <w:rPr>
          <w:rFonts w:ascii="Times New Roman" w:hAnsi="Times New Roman" w:cs="Times New Roman"/>
        </w:rPr>
        <w:t xml:space="preserve">                    </w:t>
      </w:r>
      <w:r w:rsidRPr="00B10AB3">
        <w:rPr>
          <w:rFonts w:ascii="Times New Roman" w:hAnsi="Times New Roman" w:cs="Times New Roman"/>
        </w:rPr>
        <w:t xml:space="preserve">o stowarzyszeń.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Kontrola, może być przeprowadzona w zakresie i na zasadach określonych w ustawie przez ww. organy na podstawie rocznego planu kontroli bądź doraźnie. Przedmiotowa kontrola może być realizowana przez co najmniej dwóch imiennie upoważnionych przez ww. organ pracowników/kontrolerów (art. 131 i art. 132). Szczegółowy zakres upoważnienia do kontroli określa ustawa w art. 133 ust. 2. </w:t>
      </w:r>
      <w:r>
        <w:rPr>
          <w:rFonts w:ascii="Times New Roman" w:hAnsi="Times New Roman" w:cs="Times New Roman"/>
        </w:rPr>
        <w:t xml:space="preserve">                                    </w:t>
      </w:r>
      <w:r w:rsidRPr="00B10AB3">
        <w:rPr>
          <w:rFonts w:ascii="Times New Roman" w:hAnsi="Times New Roman" w:cs="Times New Roman"/>
        </w:rPr>
        <w:t xml:space="preserve">Z przeprowadzonej kontroli sporządzany jest protokół pokontrolny (art. 141) oraz wystąpienie pokontrolne zawierające m.in. zalecenia pokontrolne (art. 142). </w:t>
      </w:r>
    </w:p>
    <w:p w:rsidR="00B10AB3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>W przypadku niedopełnienia przez instytucje obowiązane obowiązków nałożonych ustawą, przewidziane są kary administracyjne określone w art. 150 ustawy. Kary w drodze decyzji administracyjnej nakłada Generalny Inspektor Informacji Finansowej.</w:t>
      </w:r>
    </w:p>
    <w:p w:rsidR="00927E99" w:rsidRPr="00B10AB3" w:rsidRDefault="00B10AB3" w:rsidP="00B10AB3">
      <w:pPr>
        <w:jc w:val="both"/>
        <w:rPr>
          <w:rFonts w:ascii="Times New Roman" w:hAnsi="Times New Roman" w:cs="Times New Roman"/>
        </w:rPr>
      </w:pPr>
      <w:r w:rsidRPr="00B10AB3">
        <w:rPr>
          <w:rFonts w:ascii="Times New Roman" w:hAnsi="Times New Roman" w:cs="Times New Roman"/>
        </w:rPr>
        <w:t xml:space="preserve"> Informację w formie pisemnego oświadczenia podpisanego przez osobę(y) umocowaną(e) do działania w sprawach majątkowych zgodnie z zapisami statutu Państwa organizacji, należy złożyć </w:t>
      </w:r>
      <w:r w:rsidRPr="00B10AB3">
        <w:rPr>
          <w:rFonts w:ascii="Times New Roman" w:hAnsi="Times New Roman" w:cs="Times New Roman"/>
        </w:rPr>
        <w:t>w Kancelarii</w:t>
      </w:r>
      <w:r w:rsidRPr="00B10AB3">
        <w:rPr>
          <w:rFonts w:ascii="Times New Roman" w:hAnsi="Times New Roman" w:cs="Times New Roman"/>
        </w:rPr>
        <w:t xml:space="preserve"> Starostwa Powiatowego w </w:t>
      </w:r>
      <w:r w:rsidRPr="00B10AB3">
        <w:rPr>
          <w:rFonts w:ascii="Times New Roman" w:hAnsi="Times New Roman" w:cs="Times New Roman"/>
        </w:rPr>
        <w:t>Świdniku</w:t>
      </w:r>
      <w:r w:rsidRPr="00B10AB3">
        <w:rPr>
          <w:rFonts w:ascii="Times New Roman" w:hAnsi="Times New Roman" w:cs="Times New Roman"/>
        </w:rPr>
        <w:t xml:space="preserve">, </w:t>
      </w:r>
      <w:r w:rsidRPr="00B10AB3">
        <w:rPr>
          <w:rFonts w:ascii="Times New Roman" w:hAnsi="Times New Roman" w:cs="Times New Roman"/>
        </w:rPr>
        <w:t>ul</w:t>
      </w:r>
      <w:r w:rsidRPr="00B10AB3">
        <w:rPr>
          <w:rFonts w:ascii="Times New Roman" w:hAnsi="Times New Roman" w:cs="Times New Roman"/>
        </w:rPr>
        <w:t xml:space="preserve">. </w:t>
      </w:r>
      <w:r w:rsidRPr="00B10AB3">
        <w:rPr>
          <w:rFonts w:ascii="Times New Roman" w:hAnsi="Times New Roman" w:cs="Times New Roman"/>
        </w:rPr>
        <w:t>Niepodległości 13</w:t>
      </w:r>
      <w:r w:rsidRPr="00B10AB3">
        <w:rPr>
          <w:rFonts w:ascii="Times New Roman" w:hAnsi="Times New Roman" w:cs="Times New Roman"/>
        </w:rPr>
        <w:t>, 21-0</w:t>
      </w:r>
      <w:r w:rsidRPr="00B10AB3">
        <w:rPr>
          <w:rFonts w:ascii="Times New Roman" w:hAnsi="Times New Roman" w:cs="Times New Roman"/>
        </w:rPr>
        <w:t>4</w:t>
      </w:r>
      <w:r w:rsidRPr="00B10AB3">
        <w:rPr>
          <w:rFonts w:ascii="Times New Roman" w:hAnsi="Times New Roman" w:cs="Times New Roman"/>
        </w:rPr>
        <w:t xml:space="preserve">0 </w:t>
      </w:r>
      <w:r w:rsidRPr="00B10AB3">
        <w:rPr>
          <w:rFonts w:ascii="Times New Roman" w:hAnsi="Times New Roman" w:cs="Times New Roman"/>
        </w:rPr>
        <w:t>Świdnik</w:t>
      </w:r>
      <w:r w:rsidRPr="00B10AB3">
        <w:rPr>
          <w:rFonts w:ascii="Times New Roman" w:hAnsi="Times New Roman" w:cs="Times New Roman"/>
        </w:rPr>
        <w:t>. W załączniku do pobrania wzór oświadczenia.</w:t>
      </w:r>
    </w:p>
    <w:sectPr w:rsidR="00927E99" w:rsidRPr="00B1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3"/>
    <w:rsid w:val="00024CBF"/>
    <w:rsid w:val="00A34BDE"/>
    <w:rsid w:val="00B10AB3"/>
    <w:rsid w:val="00D846DB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76F8"/>
  <w15:chartTrackingRefBased/>
  <w15:docId w15:val="{53FFD523-D307-4E7F-9A80-BAED7432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Bielak-Kozyra</dc:creator>
  <cp:keywords/>
  <dc:description/>
  <cp:lastModifiedBy>Paulina Bielak-Kozyra</cp:lastModifiedBy>
  <cp:revision>1</cp:revision>
  <dcterms:created xsi:type="dcterms:W3CDTF">2022-04-21T06:45:00Z</dcterms:created>
  <dcterms:modified xsi:type="dcterms:W3CDTF">2022-04-21T07:30:00Z</dcterms:modified>
</cp:coreProperties>
</file>